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30E0758F" w:rsidR="001877E3" w:rsidRPr="00F24C59" w:rsidRDefault="004706FB" w:rsidP="001877E3">
      <w:pPr>
        <w:pStyle w:val="TitleAbstractSSPCR"/>
      </w:pPr>
      <w:r w:rsidRPr="00F24C59">
        <w:t>Unleashing the potential of collectivities in energy: between old and new energy communities</w:t>
      </w:r>
    </w:p>
    <w:p w14:paraId="1869B70D" w14:textId="3D2068E0" w:rsidR="001877E3" w:rsidRPr="00F24C59" w:rsidRDefault="003A2B11" w:rsidP="001877E3">
      <w:pPr>
        <w:pStyle w:val="AuthorNamesSSPCR"/>
      </w:pPr>
      <w:r w:rsidRPr="00F24C59">
        <w:t>Nicolò Rossetto</w:t>
      </w:r>
      <w:r w:rsidR="001877E3" w:rsidRPr="00F24C59">
        <w:rPr>
          <w:rStyle w:val="Rimandonotaapidipagina"/>
        </w:rPr>
        <w:footnoteReference w:id="2"/>
      </w:r>
      <w:r w:rsidR="001877E3" w:rsidRPr="00F24C59">
        <w:t xml:space="preserve"> </w:t>
      </w:r>
    </w:p>
    <w:p w14:paraId="02095FB8" w14:textId="457A3C57" w:rsidR="003F7A16" w:rsidRPr="00F24C59" w:rsidRDefault="003F7A16" w:rsidP="00F24C59">
      <w:pPr>
        <w:pStyle w:val="KeywordsSSPCR"/>
      </w:pPr>
      <w:r w:rsidRPr="00F24C59">
        <w:t xml:space="preserve">Keywords: </w:t>
      </w:r>
      <w:r w:rsidR="00303253" w:rsidRPr="00F24C59">
        <w:t>energy communities</w:t>
      </w:r>
      <w:r w:rsidR="00A77501" w:rsidRPr="00F24C59">
        <w:t>,</w:t>
      </w:r>
      <w:r w:rsidR="004E3916" w:rsidRPr="00F24C59">
        <w:t xml:space="preserve"> </w:t>
      </w:r>
      <w:r w:rsidR="00303253" w:rsidRPr="00F24C59">
        <w:t>energy sharing</w:t>
      </w:r>
      <w:r w:rsidR="00A77501" w:rsidRPr="00F24C59">
        <w:t>,</w:t>
      </w:r>
      <w:r w:rsidR="004E3916" w:rsidRPr="00F24C59">
        <w:t xml:space="preserve"> </w:t>
      </w:r>
      <w:r w:rsidR="00A77501" w:rsidRPr="00F24C59">
        <w:t xml:space="preserve">demand-side flexibility, </w:t>
      </w:r>
      <w:r w:rsidR="00303253" w:rsidRPr="00F24C59">
        <w:t>active consumer</w:t>
      </w:r>
      <w:r w:rsidR="00A77501" w:rsidRPr="00F24C59">
        <w:t>,</w:t>
      </w:r>
      <w:r w:rsidR="004E3916" w:rsidRPr="00F24C59">
        <w:t xml:space="preserve"> </w:t>
      </w:r>
      <w:r w:rsidR="00303253" w:rsidRPr="00F24C59">
        <w:t>energy regulation.</w:t>
      </w:r>
    </w:p>
    <w:p w14:paraId="726C0ECE" w14:textId="3FF28E29" w:rsidR="003A2B11" w:rsidRPr="00F24C59" w:rsidRDefault="005437E0" w:rsidP="00F24C59">
      <w:pPr>
        <w:pStyle w:val="AbstractAcknowledgementTextSSPCR"/>
      </w:pPr>
      <w:r w:rsidRPr="00F24C59">
        <w:t>Research problem &amp; objectives</w:t>
      </w:r>
    </w:p>
    <w:p w14:paraId="72F8BC77" w14:textId="701047A4" w:rsidR="006870CD" w:rsidRPr="00F24C59" w:rsidRDefault="00BE6536" w:rsidP="005437E0">
      <w:pPr>
        <w:spacing w:after="0"/>
        <w:rPr>
          <w:rFonts w:ascii="Arial" w:hAnsi="Arial" w:cs="Arial"/>
          <w:sz w:val="20"/>
          <w:szCs w:val="28"/>
          <w:lang w:eastAsia="zh-CN"/>
        </w:rPr>
      </w:pPr>
      <w:r w:rsidRPr="00F24C59">
        <w:rPr>
          <w:rFonts w:ascii="Arial" w:hAnsi="Arial" w:cs="Arial"/>
          <w:sz w:val="20"/>
          <w:szCs w:val="28"/>
          <w:lang w:eastAsia="zh-CN"/>
        </w:rPr>
        <w:t xml:space="preserve">There is an increasing consensus that the active participation of </w:t>
      </w:r>
      <w:r w:rsidR="00EE267C" w:rsidRPr="00F24C59">
        <w:rPr>
          <w:rFonts w:ascii="Arial" w:hAnsi="Arial" w:cs="Arial"/>
          <w:sz w:val="20"/>
          <w:szCs w:val="28"/>
          <w:lang w:eastAsia="zh-CN"/>
        </w:rPr>
        <w:t>consumers</w:t>
      </w:r>
      <w:r w:rsidRPr="00F24C59">
        <w:rPr>
          <w:rFonts w:ascii="Arial" w:hAnsi="Arial" w:cs="Arial"/>
          <w:sz w:val="20"/>
          <w:szCs w:val="28"/>
          <w:lang w:eastAsia="zh-CN"/>
        </w:rPr>
        <w:t xml:space="preserve"> </w:t>
      </w:r>
      <w:r w:rsidR="00144BC2" w:rsidRPr="00F24C59">
        <w:rPr>
          <w:rFonts w:ascii="Arial" w:hAnsi="Arial" w:cs="Arial"/>
          <w:sz w:val="20"/>
          <w:szCs w:val="28"/>
          <w:lang w:eastAsia="zh-CN"/>
        </w:rPr>
        <w:t xml:space="preserve">in energy markets </w:t>
      </w:r>
      <w:r w:rsidRPr="00F24C59">
        <w:rPr>
          <w:rFonts w:ascii="Arial" w:hAnsi="Arial" w:cs="Arial"/>
          <w:sz w:val="20"/>
          <w:szCs w:val="28"/>
          <w:lang w:eastAsia="zh-CN"/>
        </w:rPr>
        <w:t xml:space="preserve">is a fundamental element of any </w:t>
      </w:r>
      <w:r w:rsidR="003F1974" w:rsidRPr="00F24C59">
        <w:rPr>
          <w:rFonts w:ascii="Arial" w:hAnsi="Arial" w:cs="Arial"/>
          <w:sz w:val="20"/>
          <w:szCs w:val="28"/>
          <w:lang w:eastAsia="zh-CN"/>
        </w:rPr>
        <w:t xml:space="preserve">successful </w:t>
      </w:r>
      <w:r w:rsidR="00144BC2" w:rsidRPr="00F24C59">
        <w:rPr>
          <w:rFonts w:ascii="Arial" w:hAnsi="Arial" w:cs="Arial"/>
          <w:sz w:val="20"/>
          <w:szCs w:val="28"/>
          <w:lang w:eastAsia="zh-CN"/>
        </w:rPr>
        <w:t>strategy for an</w:t>
      </w:r>
      <w:r w:rsidRPr="00F24C59">
        <w:rPr>
          <w:rFonts w:ascii="Arial" w:hAnsi="Arial" w:cs="Arial"/>
          <w:sz w:val="20"/>
          <w:szCs w:val="28"/>
          <w:lang w:eastAsia="zh-CN"/>
        </w:rPr>
        <w:t xml:space="preserve"> efficient and fair decarbonization of modern economies. </w:t>
      </w:r>
      <w:r w:rsidR="00144BC2" w:rsidRPr="00F24C59">
        <w:rPr>
          <w:rFonts w:ascii="Arial" w:hAnsi="Arial" w:cs="Arial"/>
          <w:sz w:val="20"/>
          <w:szCs w:val="28"/>
          <w:lang w:eastAsia="zh-CN"/>
        </w:rPr>
        <w:t>Such active role</w:t>
      </w:r>
      <w:r w:rsidR="0056340A" w:rsidRPr="00F24C59">
        <w:rPr>
          <w:rFonts w:ascii="Arial" w:hAnsi="Arial" w:cs="Arial"/>
          <w:sz w:val="20"/>
          <w:szCs w:val="28"/>
          <w:lang w:eastAsia="zh-CN"/>
        </w:rPr>
        <w:t xml:space="preserve"> </w:t>
      </w:r>
      <w:r w:rsidR="00144BC2" w:rsidRPr="00F24C59">
        <w:rPr>
          <w:rFonts w:ascii="Arial" w:hAnsi="Arial" w:cs="Arial"/>
          <w:sz w:val="20"/>
          <w:szCs w:val="28"/>
          <w:lang w:eastAsia="zh-CN"/>
        </w:rPr>
        <w:t xml:space="preserve">can </w:t>
      </w:r>
      <w:r w:rsidR="003F1974" w:rsidRPr="00F24C59">
        <w:rPr>
          <w:rFonts w:ascii="Arial" w:hAnsi="Arial" w:cs="Arial"/>
          <w:sz w:val="20"/>
          <w:szCs w:val="28"/>
          <w:lang w:eastAsia="zh-CN"/>
        </w:rPr>
        <w:t xml:space="preserve">be performed individually or </w:t>
      </w:r>
      <w:r w:rsidR="00144BC2" w:rsidRPr="00F24C59">
        <w:rPr>
          <w:rFonts w:ascii="Arial" w:hAnsi="Arial" w:cs="Arial"/>
          <w:sz w:val="20"/>
          <w:szCs w:val="28"/>
          <w:lang w:eastAsia="zh-CN"/>
        </w:rPr>
        <w:t xml:space="preserve">within collectivities, the </w:t>
      </w:r>
      <w:r w:rsidR="003F1974" w:rsidRPr="00F24C59">
        <w:rPr>
          <w:rFonts w:ascii="Arial" w:hAnsi="Arial" w:cs="Arial"/>
          <w:sz w:val="20"/>
          <w:szCs w:val="28"/>
          <w:lang w:eastAsia="zh-CN"/>
        </w:rPr>
        <w:t>so-called</w:t>
      </w:r>
      <w:r w:rsidR="00144BC2" w:rsidRPr="00F24C59">
        <w:rPr>
          <w:rFonts w:ascii="Arial" w:hAnsi="Arial" w:cs="Arial"/>
          <w:sz w:val="20"/>
          <w:szCs w:val="28"/>
          <w:lang w:eastAsia="zh-CN"/>
        </w:rPr>
        <w:t xml:space="preserve"> energy communities</w:t>
      </w:r>
      <w:r w:rsidR="003F1974" w:rsidRPr="00F24C59">
        <w:rPr>
          <w:rFonts w:ascii="Arial" w:hAnsi="Arial" w:cs="Arial"/>
          <w:sz w:val="20"/>
          <w:szCs w:val="28"/>
          <w:lang w:eastAsia="zh-CN"/>
        </w:rPr>
        <w:t xml:space="preserve">. Despite the significant attention </w:t>
      </w:r>
      <w:r w:rsidR="00AC25B3" w:rsidRPr="00F24C59">
        <w:rPr>
          <w:rFonts w:ascii="Arial" w:hAnsi="Arial" w:cs="Arial"/>
          <w:sz w:val="20"/>
          <w:szCs w:val="28"/>
          <w:lang w:eastAsia="zh-CN"/>
        </w:rPr>
        <w:t xml:space="preserve">they received </w:t>
      </w:r>
      <w:r w:rsidR="003F1974" w:rsidRPr="00F24C59">
        <w:rPr>
          <w:rFonts w:ascii="Arial" w:hAnsi="Arial" w:cs="Arial"/>
          <w:sz w:val="20"/>
          <w:szCs w:val="28"/>
          <w:lang w:eastAsia="zh-CN"/>
        </w:rPr>
        <w:t>in recent years, energy communities are not a new concept. They have existed for decades. What is new is the type of activities they can play in the energy system</w:t>
      </w:r>
      <w:r w:rsidR="00DD7672" w:rsidRPr="00F24C59">
        <w:rPr>
          <w:rFonts w:ascii="Arial" w:hAnsi="Arial" w:cs="Arial"/>
          <w:sz w:val="20"/>
          <w:szCs w:val="28"/>
          <w:lang w:eastAsia="zh-CN"/>
        </w:rPr>
        <w:t xml:space="preserve">, which has expanded mostly due to the improvements in technology and the digitalization of the energy system. This expansion in the potential activities performed </w:t>
      </w:r>
      <w:r w:rsidR="006870CD" w:rsidRPr="00F24C59">
        <w:rPr>
          <w:rFonts w:ascii="Arial" w:hAnsi="Arial" w:cs="Arial"/>
          <w:sz w:val="20"/>
          <w:szCs w:val="28"/>
          <w:lang w:eastAsia="zh-CN"/>
        </w:rPr>
        <w:t xml:space="preserve">is one of the reasons behind the heterogeneity that characterizes </w:t>
      </w:r>
      <w:r w:rsidR="004706FB" w:rsidRPr="00F24C59">
        <w:rPr>
          <w:rFonts w:ascii="Arial" w:hAnsi="Arial" w:cs="Arial"/>
          <w:sz w:val="20"/>
          <w:szCs w:val="28"/>
          <w:lang w:eastAsia="zh-CN"/>
        </w:rPr>
        <w:t>energy communities</w:t>
      </w:r>
      <w:r w:rsidR="006870CD" w:rsidRPr="00F24C59">
        <w:rPr>
          <w:rFonts w:ascii="Arial" w:hAnsi="Arial" w:cs="Arial"/>
          <w:sz w:val="20"/>
          <w:szCs w:val="28"/>
          <w:lang w:eastAsia="zh-CN"/>
        </w:rPr>
        <w:t xml:space="preserve"> and the difficulty to understand the opportunities and the obstacles that consumers face when </w:t>
      </w:r>
      <w:r w:rsidR="00CD2372" w:rsidRPr="00F24C59">
        <w:rPr>
          <w:rFonts w:ascii="Arial" w:hAnsi="Arial" w:cs="Arial"/>
          <w:sz w:val="20"/>
          <w:szCs w:val="28"/>
          <w:lang w:eastAsia="zh-CN"/>
        </w:rPr>
        <w:t xml:space="preserve">they choose to </w:t>
      </w:r>
      <w:r w:rsidR="0056340A" w:rsidRPr="00F24C59">
        <w:rPr>
          <w:rFonts w:ascii="Arial" w:hAnsi="Arial" w:cs="Arial"/>
          <w:sz w:val="20"/>
          <w:szCs w:val="28"/>
          <w:lang w:eastAsia="zh-CN"/>
        </w:rPr>
        <w:t>act collectively</w:t>
      </w:r>
      <w:r w:rsidR="00CD2372" w:rsidRPr="00F24C59">
        <w:rPr>
          <w:rFonts w:ascii="Arial" w:hAnsi="Arial" w:cs="Arial"/>
          <w:sz w:val="20"/>
          <w:szCs w:val="28"/>
          <w:lang w:eastAsia="zh-CN"/>
        </w:rPr>
        <w:t>.</w:t>
      </w:r>
    </w:p>
    <w:p w14:paraId="3C320A43" w14:textId="4D7713B0" w:rsidR="00CD2372" w:rsidRPr="00F24C59" w:rsidRDefault="00CD2372" w:rsidP="005437E0">
      <w:pPr>
        <w:spacing w:after="0"/>
        <w:rPr>
          <w:rFonts w:ascii="Arial" w:hAnsi="Arial" w:cs="Arial"/>
          <w:sz w:val="20"/>
          <w:szCs w:val="28"/>
          <w:lang w:eastAsia="zh-CN"/>
        </w:rPr>
      </w:pPr>
      <w:r w:rsidRPr="00F24C59">
        <w:rPr>
          <w:rFonts w:ascii="Arial" w:hAnsi="Arial" w:cs="Arial"/>
          <w:sz w:val="20"/>
          <w:szCs w:val="28"/>
          <w:lang w:eastAsia="zh-CN"/>
        </w:rPr>
        <w:t>The research aims at exploring the policy and regulatory aspects that enable or hinder the realization of the potentia</w:t>
      </w:r>
      <w:r w:rsidR="00EE267C" w:rsidRPr="00F24C59">
        <w:rPr>
          <w:rFonts w:ascii="Arial" w:hAnsi="Arial" w:cs="Arial"/>
          <w:sz w:val="20"/>
          <w:szCs w:val="28"/>
          <w:lang w:eastAsia="zh-CN"/>
        </w:rPr>
        <w:t xml:space="preserve">l offered by technology to those consumers willing to </w:t>
      </w:r>
      <w:r w:rsidR="0056340A" w:rsidRPr="00F24C59">
        <w:rPr>
          <w:rFonts w:ascii="Arial" w:hAnsi="Arial" w:cs="Arial"/>
          <w:sz w:val="20"/>
          <w:szCs w:val="28"/>
          <w:lang w:eastAsia="zh-CN"/>
        </w:rPr>
        <w:t>take an active role in</w:t>
      </w:r>
      <w:r w:rsidR="00EE267C" w:rsidRPr="00F24C59">
        <w:rPr>
          <w:rFonts w:ascii="Arial" w:hAnsi="Arial" w:cs="Arial"/>
          <w:sz w:val="20"/>
          <w:szCs w:val="28"/>
          <w:lang w:eastAsia="zh-CN"/>
        </w:rPr>
        <w:t xml:space="preserve"> the energy transition. By doing that, the research highlights how the transformation of the energy system </w:t>
      </w:r>
      <w:r w:rsidR="00AC7D35" w:rsidRPr="00F24C59">
        <w:rPr>
          <w:rFonts w:ascii="Arial" w:hAnsi="Arial" w:cs="Arial"/>
          <w:sz w:val="20"/>
          <w:szCs w:val="28"/>
          <w:lang w:eastAsia="zh-CN"/>
        </w:rPr>
        <w:t xml:space="preserve">and the possibility for cities to effectively pursue climate neutrality </w:t>
      </w:r>
      <w:r w:rsidR="00EE267C" w:rsidRPr="00F24C59">
        <w:rPr>
          <w:rFonts w:ascii="Arial" w:hAnsi="Arial" w:cs="Arial"/>
          <w:sz w:val="20"/>
          <w:szCs w:val="28"/>
          <w:lang w:eastAsia="zh-CN"/>
        </w:rPr>
        <w:t xml:space="preserve">is not the mere results of </w:t>
      </w:r>
      <w:r w:rsidR="00AC7D35" w:rsidRPr="00F24C59">
        <w:rPr>
          <w:rFonts w:ascii="Arial" w:hAnsi="Arial" w:cs="Arial"/>
          <w:sz w:val="20"/>
          <w:szCs w:val="28"/>
          <w:lang w:eastAsia="zh-CN"/>
        </w:rPr>
        <w:t>a transformation</w:t>
      </w:r>
      <w:r w:rsidR="00EE267C" w:rsidRPr="00F24C59">
        <w:rPr>
          <w:rFonts w:ascii="Arial" w:hAnsi="Arial" w:cs="Arial"/>
          <w:sz w:val="20"/>
          <w:szCs w:val="28"/>
          <w:lang w:eastAsia="zh-CN"/>
        </w:rPr>
        <w:t xml:space="preserve"> in the available </w:t>
      </w:r>
      <w:r w:rsidR="0056340A" w:rsidRPr="00F24C59">
        <w:rPr>
          <w:rFonts w:ascii="Arial" w:hAnsi="Arial" w:cs="Arial"/>
          <w:sz w:val="20"/>
          <w:szCs w:val="28"/>
          <w:lang w:eastAsia="zh-CN"/>
        </w:rPr>
        <w:t>t</w:t>
      </w:r>
      <w:r w:rsidR="00EE267C" w:rsidRPr="00F24C59">
        <w:rPr>
          <w:rFonts w:ascii="Arial" w:hAnsi="Arial" w:cs="Arial"/>
          <w:sz w:val="20"/>
          <w:szCs w:val="28"/>
          <w:lang w:eastAsia="zh-CN"/>
        </w:rPr>
        <w:t>echnologies</w:t>
      </w:r>
      <w:r w:rsidR="00AC7D35" w:rsidRPr="00F24C59">
        <w:rPr>
          <w:rFonts w:ascii="Arial" w:hAnsi="Arial" w:cs="Arial"/>
          <w:sz w:val="20"/>
          <w:szCs w:val="28"/>
          <w:lang w:eastAsia="zh-CN"/>
        </w:rPr>
        <w:t xml:space="preserve">, but </w:t>
      </w:r>
      <w:r w:rsidR="004706FB" w:rsidRPr="00F24C59">
        <w:rPr>
          <w:rFonts w:ascii="Arial" w:hAnsi="Arial" w:cs="Arial"/>
          <w:sz w:val="20"/>
          <w:szCs w:val="28"/>
          <w:lang w:eastAsia="zh-CN"/>
        </w:rPr>
        <w:t xml:space="preserve">significantly </w:t>
      </w:r>
      <w:r w:rsidR="00AC7D35" w:rsidRPr="00F24C59">
        <w:rPr>
          <w:rFonts w:ascii="Arial" w:hAnsi="Arial" w:cs="Arial"/>
          <w:sz w:val="20"/>
          <w:szCs w:val="28"/>
          <w:lang w:eastAsia="zh-CN"/>
        </w:rPr>
        <w:t xml:space="preserve">depends on the rules that govern the production, transportation, </w:t>
      </w:r>
      <w:proofErr w:type="gramStart"/>
      <w:r w:rsidR="00AC7D35" w:rsidRPr="00F24C59">
        <w:rPr>
          <w:rFonts w:ascii="Arial" w:hAnsi="Arial" w:cs="Arial"/>
          <w:sz w:val="20"/>
          <w:szCs w:val="28"/>
          <w:lang w:eastAsia="zh-CN"/>
        </w:rPr>
        <w:t>distribution</w:t>
      </w:r>
      <w:proofErr w:type="gramEnd"/>
      <w:r w:rsidR="00AC7D35" w:rsidRPr="00F24C59">
        <w:rPr>
          <w:rFonts w:ascii="Arial" w:hAnsi="Arial" w:cs="Arial"/>
          <w:sz w:val="20"/>
          <w:szCs w:val="28"/>
          <w:lang w:eastAsia="zh-CN"/>
        </w:rPr>
        <w:t xml:space="preserve"> and consumption of energy.</w:t>
      </w:r>
    </w:p>
    <w:p w14:paraId="09A63F74" w14:textId="77777777" w:rsidR="009D1D91" w:rsidRPr="00F24C59" w:rsidRDefault="009D1D91" w:rsidP="009D1D91">
      <w:pPr>
        <w:spacing w:after="0"/>
        <w:rPr>
          <w:rFonts w:ascii="Arial" w:hAnsi="Arial" w:cs="Arial"/>
          <w:b/>
          <w:bCs/>
          <w:sz w:val="20"/>
          <w:szCs w:val="28"/>
          <w:lang w:eastAsia="zh-CN"/>
        </w:rPr>
      </w:pPr>
      <w:r w:rsidRPr="00F24C59">
        <w:rPr>
          <w:rFonts w:ascii="Arial" w:hAnsi="Arial" w:cs="Arial"/>
          <w:b/>
          <w:bCs/>
          <w:sz w:val="20"/>
          <w:szCs w:val="28"/>
          <w:lang w:eastAsia="zh-CN"/>
        </w:rPr>
        <w:t>Materials/case study description and methods</w:t>
      </w:r>
    </w:p>
    <w:p w14:paraId="6C57FEC4" w14:textId="790D2034" w:rsidR="00BE6536" w:rsidRPr="00F24C59" w:rsidRDefault="009D1D91" w:rsidP="005437E0">
      <w:pPr>
        <w:spacing w:after="0"/>
        <w:rPr>
          <w:rFonts w:ascii="Arial" w:hAnsi="Arial" w:cs="Arial"/>
          <w:sz w:val="20"/>
          <w:szCs w:val="28"/>
          <w:lang w:eastAsia="zh-CN"/>
        </w:rPr>
      </w:pPr>
      <w:r w:rsidRPr="00F24C59">
        <w:rPr>
          <w:rFonts w:ascii="Arial" w:hAnsi="Arial" w:cs="Arial"/>
          <w:sz w:val="20"/>
          <w:szCs w:val="28"/>
          <w:lang w:eastAsia="zh-CN"/>
        </w:rPr>
        <w:t xml:space="preserve">The research </w:t>
      </w:r>
      <w:r w:rsidR="00303253" w:rsidRPr="00F24C59">
        <w:rPr>
          <w:rFonts w:ascii="Arial" w:hAnsi="Arial" w:cs="Arial"/>
          <w:sz w:val="20"/>
          <w:szCs w:val="28"/>
          <w:lang w:eastAsia="zh-CN"/>
        </w:rPr>
        <w:t xml:space="preserve">focuses on Europe and </w:t>
      </w:r>
      <w:r w:rsidRPr="00F24C59">
        <w:rPr>
          <w:rFonts w:ascii="Arial" w:hAnsi="Arial" w:cs="Arial"/>
          <w:sz w:val="20"/>
          <w:szCs w:val="28"/>
          <w:lang w:eastAsia="zh-CN"/>
        </w:rPr>
        <w:t>builds on a review of the literature on energy communities</w:t>
      </w:r>
      <w:r w:rsidR="00303253" w:rsidRPr="00F24C59">
        <w:rPr>
          <w:rFonts w:ascii="Arial" w:hAnsi="Arial" w:cs="Arial"/>
          <w:sz w:val="20"/>
          <w:szCs w:val="28"/>
          <w:lang w:eastAsia="zh-CN"/>
        </w:rPr>
        <w:t>, an analysis of the existing regulation of the energy sector, and the investigation of</w:t>
      </w:r>
      <w:r w:rsidRPr="00F24C59">
        <w:rPr>
          <w:rFonts w:ascii="Arial" w:hAnsi="Arial" w:cs="Arial"/>
          <w:sz w:val="20"/>
          <w:szCs w:val="28"/>
          <w:lang w:eastAsia="zh-CN"/>
        </w:rPr>
        <w:t xml:space="preserve"> a </w:t>
      </w:r>
      <w:r w:rsidR="0081048C" w:rsidRPr="00F24C59">
        <w:rPr>
          <w:rFonts w:ascii="Arial" w:hAnsi="Arial" w:cs="Arial"/>
          <w:sz w:val="20"/>
          <w:szCs w:val="28"/>
          <w:lang w:eastAsia="zh-CN"/>
        </w:rPr>
        <w:t>few</w:t>
      </w:r>
      <w:r w:rsidRPr="00F24C59">
        <w:rPr>
          <w:rFonts w:ascii="Arial" w:hAnsi="Arial" w:cs="Arial"/>
          <w:sz w:val="20"/>
          <w:szCs w:val="28"/>
          <w:lang w:eastAsia="zh-CN"/>
        </w:rPr>
        <w:t xml:space="preserve"> case studies of energy communities.</w:t>
      </w:r>
      <w:r w:rsidR="00F928F5" w:rsidRPr="00F24C59">
        <w:rPr>
          <w:rFonts w:ascii="Arial" w:hAnsi="Arial" w:cs="Arial"/>
          <w:sz w:val="20"/>
          <w:szCs w:val="28"/>
          <w:lang w:eastAsia="zh-CN"/>
        </w:rPr>
        <w:t xml:space="preserve"> </w:t>
      </w:r>
      <w:r w:rsidR="00C90DDB" w:rsidRPr="00F24C59">
        <w:rPr>
          <w:rFonts w:ascii="Arial" w:hAnsi="Arial" w:cs="Arial"/>
          <w:sz w:val="20"/>
          <w:szCs w:val="28"/>
          <w:lang w:eastAsia="zh-CN"/>
        </w:rPr>
        <w:t>By focusing on the function performed</w:t>
      </w:r>
      <w:r w:rsidR="00303253" w:rsidRPr="00F24C59">
        <w:rPr>
          <w:rFonts w:ascii="Arial" w:hAnsi="Arial" w:cs="Arial"/>
          <w:sz w:val="20"/>
          <w:szCs w:val="28"/>
          <w:lang w:eastAsia="zh-CN"/>
        </w:rPr>
        <w:t xml:space="preserve"> by energy communities</w:t>
      </w:r>
      <w:r w:rsidR="00C90DDB" w:rsidRPr="00F24C59">
        <w:rPr>
          <w:rFonts w:ascii="Arial" w:hAnsi="Arial" w:cs="Arial"/>
          <w:sz w:val="20"/>
          <w:szCs w:val="28"/>
          <w:lang w:eastAsia="zh-CN"/>
        </w:rPr>
        <w:t xml:space="preserve">, the research establishes </w:t>
      </w:r>
      <w:r w:rsidRPr="00F24C59">
        <w:rPr>
          <w:rFonts w:ascii="Arial" w:hAnsi="Arial" w:cs="Arial"/>
          <w:sz w:val="20"/>
          <w:szCs w:val="28"/>
          <w:lang w:eastAsia="zh-CN"/>
        </w:rPr>
        <w:t xml:space="preserve">a taxonomy that differentiates between traditional and less disruptive energy communities on the one hand and more recent and disruptive energy communities on the other hand. </w:t>
      </w:r>
      <w:r w:rsidR="00F928F5" w:rsidRPr="00F24C59">
        <w:rPr>
          <w:rFonts w:ascii="Arial" w:hAnsi="Arial" w:cs="Arial"/>
          <w:sz w:val="20"/>
          <w:szCs w:val="28"/>
          <w:lang w:eastAsia="zh-CN"/>
        </w:rPr>
        <w:t xml:space="preserve">This taxonomy is then </w:t>
      </w:r>
      <w:r w:rsidR="00F928F5" w:rsidRPr="00F24C59">
        <w:rPr>
          <w:rFonts w:ascii="Arial" w:hAnsi="Arial" w:cs="Arial"/>
          <w:sz w:val="20"/>
          <w:szCs w:val="28"/>
          <w:lang w:eastAsia="zh-CN"/>
        </w:rPr>
        <w:lastRenderedPageBreak/>
        <w:t xml:space="preserve">employed to </w:t>
      </w:r>
      <w:r w:rsidR="00AC7208" w:rsidRPr="00F24C59">
        <w:rPr>
          <w:rFonts w:ascii="Arial" w:hAnsi="Arial" w:cs="Arial"/>
          <w:sz w:val="20"/>
          <w:szCs w:val="28"/>
          <w:lang w:eastAsia="zh-CN"/>
        </w:rPr>
        <w:t>assess</w:t>
      </w:r>
      <w:r w:rsidR="00C90DDB" w:rsidRPr="00F24C59">
        <w:rPr>
          <w:rFonts w:ascii="Arial" w:hAnsi="Arial" w:cs="Arial"/>
          <w:sz w:val="20"/>
          <w:szCs w:val="28"/>
          <w:lang w:eastAsia="zh-CN"/>
        </w:rPr>
        <w:t xml:space="preserve"> the strengths, weaknesses, policy opportunities, and regulatory barriers that characteri</w:t>
      </w:r>
      <w:r w:rsidR="00303253" w:rsidRPr="00F24C59">
        <w:rPr>
          <w:rFonts w:ascii="Arial" w:hAnsi="Arial" w:cs="Arial"/>
          <w:sz w:val="20"/>
          <w:szCs w:val="28"/>
          <w:lang w:eastAsia="zh-CN"/>
        </w:rPr>
        <w:t xml:space="preserve">ze the various types of communities. </w:t>
      </w:r>
    </w:p>
    <w:p w14:paraId="0F9DC567" w14:textId="793CC34F" w:rsidR="005437E0" w:rsidRPr="00F24C59" w:rsidRDefault="005437E0" w:rsidP="005437E0">
      <w:pPr>
        <w:spacing w:after="0"/>
        <w:rPr>
          <w:rFonts w:ascii="Arial" w:hAnsi="Arial" w:cs="Arial"/>
          <w:b/>
          <w:bCs/>
          <w:sz w:val="20"/>
          <w:szCs w:val="28"/>
          <w:lang w:eastAsia="zh-CN"/>
        </w:rPr>
      </w:pPr>
      <w:r w:rsidRPr="00F24C59">
        <w:rPr>
          <w:rFonts w:ascii="Arial" w:hAnsi="Arial" w:cs="Arial"/>
          <w:b/>
          <w:bCs/>
          <w:sz w:val="20"/>
          <w:szCs w:val="28"/>
          <w:lang w:eastAsia="zh-CN"/>
        </w:rPr>
        <w:t>Key results and arguments</w:t>
      </w:r>
    </w:p>
    <w:p w14:paraId="2B1DA6EF" w14:textId="6D4EEF2E" w:rsidR="005437E0" w:rsidRPr="00F24C59" w:rsidRDefault="00AC7208" w:rsidP="005437E0">
      <w:pPr>
        <w:spacing w:after="0"/>
        <w:rPr>
          <w:rFonts w:ascii="Arial" w:hAnsi="Arial" w:cs="Arial"/>
          <w:sz w:val="20"/>
          <w:szCs w:val="28"/>
          <w:lang w:eastAsia="zh-CN"/>
        </w:rPr>
      </w:pPr>
      <w:r w:rsidRPr="00F24C59">
        <w:rPr>
          <w:rFonts w:ascii="Arial" w:hAnsi="Arial" w:cs="Arial"/>
          <w:sz w:val="20"/>
          <w:szCs w:val="28"/>
          <w:lang w:eastAsia="zh-CN"/>
        </w:rPr>
        <w:t>The research shows how the energy communities that focus on different activities within the energy sector present different strengths and weaknesses</w:t>
      </w:r>
      <w:r w:rsidR="0081048C" w:rsidRPr="00F24C59">
        <w:rPr>
          <w:rFonts w:ascii="Arial" w:hAnsi="Arial" w:cs="Arial"/>
          <w:sz w:val="20"/>
          <w:szCs w:val="28"/>
          <w:lang w:eastAsia="zh-CN"/>
        </w:rPr>
        <w:t>,</w:t>
      </w:r>
      <w:r w:rsidRPr="00F24C59">
        <w:rPr>
          <w:rFonts w:ascii="Arial" w:hAnsi="Arial" w:cs="Arial"/>
          <w:sz w:val="20"/>
          <w:szCs w:val="28"/>
          <w:lang w:eastAsia="zh-CN"/>
        </w:rPr>
        <w:t xml:space="preserve"> benefit from different policy opportunities</w:t>
      </w:r>
      <w:r w:rsidR="0081048C" w:rsidRPr="00F24C59">
        <w:rPr>
          <w:rFonts w:ascii="Arial" w:hAnsi="Arial" w:cs="Arial"/>
          <w:sz w:val="20"/>
          <w:szCs w:val="28"/>
          <w:lang w:eastAsia="zh-CN"/>
        </w:rPr>
        <w:t>,</w:t>
      </w:r>
      <w:r w:rsidRPr="00F24C59">
        <w:rPr>
          <w:rFonts w:ascii="Arial" w:hAnsi="Arial" w:cs="Arial"/>
          <w:sz w:val="20"/>
          <w:szCs w:val="28"/>
          <w:lang w:eastAsia="zh-CN"/>
        </w:rPr>
        <w:t xml:space="preserve"> and face different regulatory barriers. </w:t>
      </w:r>
      <w:r w:rsidR="00195949" w:rsidRPr="00F24C59">
        <w:rPr>
          <w:rFonts w:ascii="Arial" w:hAnsi="Arial" w:cs="Arial"/>
          <w:sz w:val="20"/>
          <w:szCs w:val="28"/>
          <w:lang w:eastAsia="zh-CN"/>
        </w:rPr>
        <w:t xml:space="preserve">As a result of that, the uptake of the energy communities and their contribution to the energy transition is likely to be far from uniform and much dependent on the choices made by policymakers and regulators. This is particularly the case for those communities that </w:t>
      </w:r>
      <w:r w:rsidR="00E6623A" w:rsidRPr="00F24C59">
        <w:rPr>
          <w:rFonts w:ascii="Arial" w:hAnsi="Arial" w:cs="Arial"/>
          <w:sz w:val="20"/>
          <w:szCs w:val="28"/>
          <w:lang w:eastAsia="zh-CN"/>
        </w:rPr>
        <w:t xml:space="preserve">exploit the development of distributed energy resources and digital tools to enable the sharing of energy between consumers and the offer of demand-side flexibility to the system. A </w:t>
      </w:r>
      <w:r w:rsidR="0081048C" w:rsidRPr="00F24C59">
        <w:rPr>
          <w:rFonts w:ascii="Arial" w:hAnsi="Arial" w:cs="Arial"/>
          <w:sz w:val="20"/>
          <w:szCs w:val="28"/>
          <w:lang w:eastAsia="zh-CN"/>
        </w:rPr>
        <w:t>re</w:t>
      </w:r>
      <w:r w:rsidR="0056340A" w:rsidRPr="00F24C59">
        <w:rPr>
          <w:rFonts w:ascii="Arial" w:hAnsi="Arial" w:cs="Arial"/>
          <w:sz w:val="20"/>
          <w:szCs w:val="28"/>
          <w:lang w:eastAsia="zh-CN"/>
        </w:rPr>
        <w:t>thinking</w:t>
      </w:r>
      <w:r w:rsidR="00E6623A" w:rsidRPr="00F24C59">
        <w:rPr>
          <w:rFonts w:ascii="Arial" w:hAnsi="Arial" w:cs="Arial"/>
          <w:sz w:val="20"/>
          <w:szCs w:val="28"/>
          <w:lang w:eastAsia="zh-CN"/>
        </w:rPr>
        <w:t xml:space="preserve"> of </w:t>
      </w:r>
      <w:r w:rsidR="0081048C" w:rsidRPr="00F24C59">
        <w:rPr>
          <w:rFonts w:ascii="Arial" w:hAnsi="Arial" w:cs="Arial"/>
          <w:sz w:val="20"/>
          <w:szCs w:val="28"/>
          <w:lang w:eastAsia="zh-CN"/>
        </w:rPr>
        <w:t>the</w:t>
      </w:r>
      <w:r w:rsidR="00E6623A" w:rsidRPr="00F24C59">
        <w:rPr>
          <w:rFonts w:ascii="Arial" w:hAnsi="Arial" w:cs="Arial"/>
          <w:sz w:val="20"/>
          <w:szCs w:val="28"/>
          <w:lang w:eastAsia="zh-CN"/>
        </w:rPr>
        <w:t xml:space="preserve"> regulatory framework built more than 20 years ago to support competition at the wholesale level and retail choice among passive final consumers is necessary to fully unleash the potential of energy communities and give climate neutral cities the opportunity to stand up.</w:t>
      </w:r>
    </w:p>
    <w:sectPr w:rsidR="005437E0" w:rsidRPr="00F24C59"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52913" w14:textId="77777777" w:rsidR="00392898" w:rsidRDefault="00392898" w:rsidP="008279F5">
      <w:pPr>
        <w:spacing w:after="0"/>
      </w:pPr>
      <w:r>
        <w:separator/>
      </w:r>
    </w:p>
  </w:endnote>
  <w:endnote w:type="continuationSeparator" w:id="0">
    <w:p w14:paraId="664E7164" w14:textId="77777777" w:rsidR="00392898" w:rsidRDefault="00392898" w:rsidP="008279F5">
      <w:pPr>
        <w:spacing w:after="0"/>
      </w:pPr>
      <w:r>
        <w:continuationSeparator/>
      </w:r>
    </w:p>
  </w:endnote>
  <w:endnote w:type="continuationNotice" w:id="1">
    <w:p w14:paraId="22ACD226" w14:textId="77777777" w:rsidR="00392898" w:rsidRDefault="00392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C076E" w14:textId="77777777" w:rsidR="00392898" w:rsidRDefault="00392898" w:rsidP="008279F5">
      <w:pPr>
        <w:spacing w:after="0"/>
      </w:pPr>
      <w:r>
        <w:separator/>
      </w:r>
    </w:p>
  </w:footnote>
  <w:footnote w:type="continuationSeparator" w:id="0">
    <w:p w14:paraId="0C2F639C" w14:textId="77777777" w:rsidR="00392898" w:rsidRDefault="00392898" w:rsidP="008279F5">
      <w:pPr>
        <w:spacing w:after="0"/>
      </w:pPr>
      <w:r>
        <w:continuationSeparator/>
      </w:r>
    </w:p>
  </w:footnote>
  <w:footnote w:type="continuationNotice" w:id="1">
    <w:p w14:paraId="3F6B4035" w14:textId="77777777" w:rsidR="00392898" w:rsidRDefault="00392898">
      <w:pPr>
        <w:spacing w:after="0"/>
      </w:pPr>
    </w:p>
  </w:footnote>
  <w:footnote w:id="2">
    <w:p w14:paraId="2B86A3B7" w14:textId="5463FC00" w:rsidR="00C25372" w:rsidRPr="00EA1E46" w:rsidRDefault="00C25372" w:rsidP="001877E3">
      <w:pPr>
        <w:pStyle w:val="Testonotaapidipagina"/>
        <w:contextualSpacing/>
        <w:rPr>
          <w:sz w:val="18"/>
          <w:szCs w:val="18"/>
          <w:lang w:val="en-US"/>
        </w:rPr>
      </w:pPr>
      <w:r w:rsidRPr="00EA1E46">
        <w:rPr>
          <w:rStyle w:val="Rimandonotaapidipagina"/>
          <w:sz w:val="14"/>
          <w:szCs w:val="14"/>
        </w:rPr>
        <w:footnoteRef/>
      </w:r>
      <w:r w:rsidRPr="00EA1E46">
        <w:rPr>
          <w:sz w:val="14"/>
          <w:szCs w:val="14"/>
          <w:lang w:val="en-US"/>
        </w:rPr>
        <w:t xml:space="preserve"> </w:t>
      </w:r>
      <w:r w:rsidR="003A2B11" w:rsidRPr="00EA1E46">
        <w:rPr>
          <w:sz w:val="14"/>
          <w:szCs w:val="14"/>
          <w:lang w:val="en-US"/>
        </w:rPr>
        <w:t>Research Fellow, Florence School of Regulation, European University Institute, via Boccaccio 121, 50133 – Firenze, Italy, nicolo.rossetto@eui.eu.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7285650">
    <w:abstractNumId w:val="2"/>
  </w:num>
  <w:num w:numId="2" w16cid:durableId="518467158">
    <w:abstractNumId w:val="19"/>
  </w:num>
  <w:num w:numId="3" w16cid:durableId="1250505180">
    <w:abstractNumId w:val="13"/>
  </w:num>
  <w:num w:numId="4" w16cid:durableId="1057436036">
    <w:abstractNumId w:val="9"/>
  </w:num>
  <w:num w:numId="5" w16cid:durableId="1335492953">
    <w:abstractNumId w:val="4"/>
  </w:num>
  <w:num w:numId="6" w16cid:durableId="1509098900">
    <w:abstractNumId w:val="5"/>
  </w:num>
  <w:num w:numId="7" w16cid:durableId="1358198551">
    <w:abstractNumId w:val="7"/>
  </w:num>
  <w:num w:numId="8" w16cid:durableId="750663133">
    <w:abstractNumId w:val="31"/>
  </w:num>
  <w:num w:numId="9" w16cid:durableId="1701663552">
    <w:abstractNumId w:val="27"/>
  </w:num>
  <w:num w:numId="10" w16cid:durableId="274562853">
    <w:abstractNumId w:val="21"/>
  </w:num>
  <w:num w:numId="11" w16cid:durableId="719593458">
    <w:abstractNumId w:val="10"/>
  </w:num>
  <w:num w:numId="12" w16cid:durableId="1534268226">
    <w:abstractNumId w:val="39"/>
  </w:num>
  <w:num w:numId="13" w16cid:durableId="2052873434">
    <w:abstractNumId w:val="32"/>
  </w:num>
  <w:num w:numId="14" w16cid:durableId="465897582">
    <w:abstractNumId w:val="23"/>
  </w:num>
  <w:num w:numId="15" w16cid:durableId="275453375">
    <w:abstractNumId w:val="40"/>
  </w:num>
  <w:num w:numId="16" w16cid:durableId="53747515">
    <w:abstractNumId w:val="33"/>
  </w:num>
  <w:num w:numId="17" w16cid:durableId="327952252">
    <w:abstractNumId w:val="29"/>
  </w:num>
  <w:num w:numId="18" w16cid:durableId="1573733452">
    <w:abstractNumId w:val="17"/>
  </w:num>
  <w:num w:numId="19" w16cid:durableId="726344587">
    <w:abstractNumId w:val="25"/>
  </w:num>
  <w:num w:numId="20" w16cid:durableId="1237786816">
    <w:abstractNumId w:val="16"/>
  </w:num>
  <w:num w:numId="21" w16cid:durableId="861699557">
    <w:abstractNumId w:val="3"/>
  </w:num>
  <w:num w:numId="22" w16cid:durableId="1044014833">
    <w:abstractNumId w:val="35"/>
  </w:num>
  <w:num w:numId="23" w16cid:durableId="294799300">
    <w:abstractNumId w:val="6"/>
  </w:num>
  <w:num w:numId="24" w16cid:durableId="144124032">
    <w:abstractNumId w:val="36"/>
  </w:num>
  <w:num w:numId="25" w16cid:durableId="728575244">
    <w:abstractNumId w:val="38"/>
  </w:num>
  <w:num w:numId="26" w16cid:durableId="1901793067">
    <w:abstractNumId w:val="11"/>
  </w:num>
  <w:num w:numId="27" w16cid:durableId="205604348">
    <w:abstractNumId w:val="8"/>
  </w:num>
  <w:num w:numId="28" w16cid:durableId="518466793">
    <w:abstractNumId w:val="28"/>
  </w:num>
  <w:num w:numId="29" w16cid:durableId="867522532">
    <w:abstractNumId w:val="26"/>
  </w:num>
  <w:num w:numId="30" w16cid:durableId="397439980">
    <w:abstractNumId w:val="37"/>
  </w:num>
  <w:num w:numId="31" w16cid:durableId="846872760">
    <w:abstractNumId w:val="15"/>
  </w:num>
  <w:num w:numId="32" w16cid:durableId="1766533424">
    <w:abstractNumId w:val="1"/>
  </w:num>
  <w:num w:numId="33" w16cid:durableId="1086919716">
    <w:abstractNumId w:val="34"/>
  </w:num>
  <w:num w:numId="34" w16cid:durableId="2083481187">
    <w:abstractNumId w:val="20"/>
  </w:num>
  <w:num w:numId="35" w16cid:durableId="1503011628">
    <w:abstractNumId w:val="30"/>
  </w:num>
  <w:num w:numId="36" w16cid:durableId="315959530">
    <w:abstractNumId w:val="14"/>
  </w:num>
  <w:num w:numId="37" w16cid:durableId="667901617">
    <w:abstractNumId w:val="0"/>
  </w:num>
  <w:num w:numId="38" w16cid:durableId="2050294538">
    <w:abstractNumId w:val="24"/>
  </w:num>
  <w:num w:numId="39" w16cid:durableId="1001815969">
    <w:abstractNumId w:val="22"/>
  </w:num>
  <w:num w:numId="40" w16cid:durableId="1529417610">
    <w:abstractNumId w:val="18"/>
  </w:num>
  <w:num w:numId="41" w16cid:durableId="564532968">
    <w:abstractNumId w:val="24"/>
  </w:num>
  <w:num w:numId="42" w16cid:durableId="200242097">
    <w:abstractNumId w:val="24"/>
  </w:num>
  <w:num w:numId="43" w16cid:durableId="1512600505">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44BC2"/>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5949"/>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3253"/>
    <w:rsid w:val="003064AD"/>
    <w:rsid w:val="00307010"/>
    <w:rsid w:val="00310134"/>
    <w:rsid w:val="003158EC"/>
    <w:rsid w:val="00315DC2"/>
    <w:rsid w:val="0032509D"/>
    <w:rsid w:val="003253B2"/>
    <w:rsid w:val="00325CCD"/>
    <w:rsid w:val="003279D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2898"/>
    <w:rsid w:val="00393BBC"/>
    <w:rsid w:val="003A023A"/>
    <w:rsid w:val="003A057D"/>
    <w:rsid w:val="003A2B11"/>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974"/>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06FB"/>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1B4E"/>
    <w:rsid w:val="004E3916"/>
    <w:rsid w:val="004E3C6D"/>
    <w:rsid w:val="004E4761"/>
    <w:rsid w:val="004E6646"/>
    <w:rsid w:val="0050163F"/>
    <w:rsid w:val="00501CD9"/>
    <w:rsid w:val="0050404F"/>
    <w:rsid w:val="0050479A"/>
    <w:rsid w:val="00511633"/>
    <w:rsid w:val="005151EE"/>
    <w:rsid w:val="005163E4"/>
    <w:rsid w:val="00517EF3"/>
    <w:rsid w:val="005213D2"/>
    <w:rsid w:val="00521DF9"/>
    <w:rsid w:val="00523585"/>
    <w:rsid w:val="0052748F"/>
    <w:rsid w:val="00531778"/>
    <w:rsid w:val="0053425B"/>
    <w:rsid w:val="00535A3F"/>
    <w:rsid w:val="00535F89"/>
    <w:rsid w:val="00540525"/>
    <w:rsid w:val="005437E0"/>
    <w:rsid w:val="00545448"/>
    <w:rsid w:val="0054715E"/>
    <w:rsid w:val="005517D5"/>
    <w:rsid w:val="00553CC4"/>
    <w:rsid w:val="005567BA"/>
    <w:rsid w:val="0056340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0CD"/>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44DF2"/>
    <w:rsid w:val="00756562"/>
    <w:rsid w:val="00756AEB"/>
    <w:rsid w:val="00766AB4"/>
    <w:rsid w:val="00771B5D"/>
    <w:rsid w:val="007729FC"/>
    <w:rsid w:val="007734F1"/>
    <w:rsid w:val="00773FD0"/>
    <w:rsid w:val="00775A2C"/>
    <w:rsid w:val="00793826"/>
    <w:rsid w:val="00793881"/>
    <w:rsid w:val="007957EA"/>
    <w:rsid w:val="00795F3D"/>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048C"/>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1D91"/>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77501"/>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25B3"/>
    <w:rsid w:val="00AC358D"/>
    <w:rsid w:val="00AC4026"/>
    <w:rsid w:val="00AC7208"/>
    <w:rsid w:val="00AC7D35"/>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E6536"/>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0DDB"/>
    <w:rsid w:val="00C95074"/>
    <w:rsid w:val="00C950E1"/>
    <w:rsid w:val="00CA052E"/>
    <w:rsid w:val="00CA34B6"/>
    <w:rsid w:val="00CB1E47"/>
    <w:rsid w:val="00CC02B1"/>
    <w:rsid w:val="00CC4B73"/>
    <w:rsid w:val="00CC6785"/>
    <w:rsid w:val="00CD2372"/>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D7672"/>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6623A"/>
    <w:rsid w:val="00E70738"/>
    <w:rsid w:val="00E734F1"/>
    <w:rsid w:val="00E74666"/>
    <w:rsid w:val="00E81550"/>
    <w:rsid w:val="00E8287A"/>
    <w:rsid w:val="00E902DD"/>
    <w:rsid w:val="00E928BA"/>
    <w:rsid w:val="00E94DE5"/>
    <w:rsid w:val="00EA1E46"/>
    <w:rsid w:val="00EA43E8"/>
    <w:rsid w:val="00EA6715"/>
    <w:rsid w:val="00EB0A0C"/>
    <w:rsid w:val="00EB1947"/>
    <w:rsid w:val="00EB5287"/>
    <w:rsid w:val="00EC1692"/>
    <w:rsid w:val="00EC1B73"/>
    <w:rsid w:val="00ED1A50"/>
    <w:rsid w:val="00ED3C83"/>
    <w:rsid w:val="00ED5E8F"/>
    <w:rsid w:val="00EE01FE"/>
    <w:rsid w:val="00EE267C"/>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4C59"/>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28F5"/>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F24C59"/>
    <w:pPr>
      <w:widowControl w:val="0"/>
      <w:spacing w:after="360"/>
      <w:contextualSpacing/>
    </w:pPr>
    <w:rPr>
      <w:rFonts w:ascii="Arial" w:eastAsia="SimSun" w:hAnsi="Arial"/>
      <w:b/>
      <w:bCs/>
      <w:kern w:val="2"/>
      <w:sz w:val="18"/>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F24C59"/>
    <w:pPr>
      <w:widowControl w:val="0"/>
      <w:spacing w:after="0"/>
      <w:contextualSpacing/>
    </w:pPr>
    <w:rPr>
      <w:rFonts w:ascii="Arial" w:eastAsia="SimSun" w:hAnsi="Arial" w:cs="Arial"/>
      <w:b/>
      <w:bCs/>
      <w:kern w:val="2"/>
      <w:sz w:val="20"/>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4E420A-8AA7-4BC1-9126-0F6BF231045B}"/>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Pages>
  <Words>509</Words>
  <Characters>2907</Characters>
  <Application>Microsoft Office Word</Application>
  <DocSecurity>0</DocSecurity>
  <Lines>24</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3410</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59</cp:revision>
  <cp:lastPrinted>2017-03-13T18:23:00Z</cp:lastPrinted>
  <dcterms:created xsi:type="dcterms:W3CDTF">2019-04-12T18:37:00Z</dcterms:created>
  <dcterms:modified xsi:type="dcterms:W3CDTF">2022-06-27T21:10:00Z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